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5" w:rsidRDefault="006B2655" w:rsidP="006B2655">
      <w:pPr>
        <w:pStyle w:val="Style10"/>
        <w:widowControl/>
        <w:spacing w:before="221"/>
        <w:ind w:right="5861"/>
        <w:jc w:val="center"/>
        <w:rPr>
          <w:rStyle w:val="FontStyle17"/>
        </w:rPr>
      </w:pPr>
    </w:p>
    <w:p w:rsidR="00000000" w:rsidRDefault="009E6F5C" w:rsidP="006B265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Pr="006B2655" w:rsidRDefault="006B2655" w:rsidP="006B2655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  <w:r w:rsidRPr="006B2655">
        <w:rPr>
          <w:b/>
          <w:sz w:val="28"/>
          <w:szCs w:val="28"/>
        </w:rPr>
        <w:t>Об учете доходов от реализации товаров, работ, услуг налогоплательщиком, перешедшим с уплаты ЕНВД на применение УСН</w:t>
      </w:r>
    </w:p>
    <w:p w:rsidR="00000000" w:rsidRDefault="009E6F5C">
      <w:pPr>
        <w:pStyle w:val="Style5"/>
        <w:widowControl/>
        <w:spacing w:before="168"/>
        <w:rPr>
          <w:rStyle w:val="FontStyle18"/>
        </w:rPr>
      </w:pPr>
      <w:r>
        <w:rPr>
          <w:rStyle w:val="FontStyle18"/>
        </w:rPr>
        <w:t xml:space="preserve">Федеральная налоговая служба </w:t>
      </w:r>
      <w:proofErr w:type="gramStart"/>
      <w:r>
        <w:rPr>
          <w:rStyle w:val="FontStyle18"/>
        </w:rPr>
        <w:t>в связи с поступающими запросами от налогоплательщиков по вопросу</w:t>
      </w:r>
      <w:r>
        <w:rPr>
          <w:rStyle w:val="FontStyle18"/>
        </w:rPr>
        <w:t xml:space="preserve"> учета доходов от реализации</w:t>
      </w:r>
      <w:proofErr w:type="gramEnd"/>
      <w:r>
        <w:rPr>
          <w:rStyle w:val="FontStyle18"/>
        </w:rPr>
        <w:t xml:space="preserve"> товаров (работ, услуг) налогоплательщиком, перешедшим с уплаты единого налога на вмененный доход для отдельных видов деятельности (далее - ЕНВД) на применение упрощенной системы налогообложения (далее - УСН), сообщает следующее</w:t>
      </w:r>
      <w:r>
        <w:rPr>
          <w:rStyle w:val="FontStyle18"/>
        </w:rPr>
        <w:t>.</w:t>
      </w:r>
    </w:p>
    <w:p w:rsidR="00000000" w:rsidRDefault="009E6F5C">
      <w:pPr>
        <w:pStyle w:val="Style5"/>
        <w:widowControl/>
        <w:ind w:firstLine="701"/>
        <w:rPr>
          <w:rStyle w:val="FontStyle18"/>
        </w:rPr>
      </w:pPr>
      <w:r>
        <w:rPr>
          <w:rStyle w:val="FontStyle18"/>
        </w:rPr>
        <w:t>В соответствии с пунктом 1 статьи 346.15 Налогового кодекса Российской Федерации (далее - Кодекс) налогоплательщики при определении объекта налогообложения по налогу, уплачиваемому в связи с применением УСН, учитывают доходы, определяемые в порядке, уста</w:t>
      </w:r>
      <w:r>
        <w:rPr>
          <w:rStyle w:val="FontStyle18"/>
        </w:rPr>
        <w:t>новленном пунктами 1 и 2 статьи 248 Кодекса.</w:t>
      </w:r>
    </w:p>
    <w:p w:rsidR="00000000" w:rsidRDefault="009E6F5C">
      <w:pPr>
        <w:pStyle w:val="Style5"/>
        <w:widowControl/>
        <w:rPr>
          <w:rStyle w:val="FontStyle18"/>
        </w:rPr>
      </w:pPr>
      <w:r>
        <w:rPr>
          <w:rStyle w:val="FontStyle18"/>
        </w:rPr>
        <w:t>Согласно пункту 1 статьи 248 Кодекса к доходам относятся доходы от реализации товаров (работ, услуг) и имущественных прав и внереализационные доходы. При этом доходы от реализации определяются в порядке, установ</w:t>
      </w:r>
      <w:r>
        <w:rPr>
          <w:rStyle w:val="FontStyle18"/>
        </w:rPr>
        <w:t>ленном статьей 249 Кодекса, а внереализационные доходы - в порядке, установленном статьей 250 Кодекса.</w:t>
      </w:r>
    </w:p>
    <w:p w:rsidR="00000000" w:rsidRDefault="009E6F5C" w:rsidP="006B2655">
      <w:pPr>
        <w:pStyle w:val="Style5"/>
        <w:widowControl/>
        <w:ind w:firstLine="706"/>
        <w:rPr>
          <w:rStyle w:val="FontStyle18"/>
        </w:rPr>
      </w:pPr>
      <w:r>
        <w:rPr>
          <w:rStyle w:val="FontStyle18"/>
        </w:rPr>
        <w:t>На основании пункта 1 статьи 249 Кодекса доходом от реализации признаются выручка от реализации товаров (работ, услуг) как собственного производства, так</w:t>
      </w:r>
      <w:r>
        <w:rPr>
          <w:rStyle w:val="FontStyle18"/>
        </w:rPr>
        <w:t xml:space="preserve"> и ранее приобретенных, выручка от реализации имущественных</w:t>
      </w:r>
      <w:r w:rsidR="006B2655">
        <w:rPr>
          <w:rStyle w:val="FontStyle18"/>
        </w:rPr>
        <w:t xml:space="preserve"> </w:t>
      </w:r>
      <w:r>
        <w:rPr>
          <w:rStyle w:val="FontStyle18"/>
        </w:rPr>
        <w:t>прав.</w:t>
      </w:r>
    </w:p>
    <w:p w:rsidR="00000000" w:rsidRDefault="009E6F5C">
      <w:pPr>
        <w:pStyle w:val="Style5"/>
        <w:widowControl/>
        <w:ind w:firstLine="701"/>
        <w:rPr>
          <w:rStyle w:val="FontStyle18"/>
        </w:rPr>
      </w:pPr>
      <w:proofErr w:type="gramStart"/>
      <w:r>
        <w:rPr>
          <w:rStyle w:val="FontStyle18"/>
        </w:rPr>
        <w:t>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</w:t>
      </w:r>
      <w:r>
        <w:rPr>
          <w:rStyle w:val="FontStyle18"/>
        </w:rPr>
        <w:t>ой формах (пункт 2 статьи 249 Кодекса).</w:t>
      </w:r>
      <w:proofErr w:type="gramEnd"/>
    </w:p>
    <w:p w:rsidR="00000000" w:rsidRDefault="009E6F5C">
      <w:pPr>
        <w:pStyle w:val="Style5"/>
        <w:widowControl/>
        <w:ind w:firstLine="706"/>
        <w:rPr>
          <w:rStyle w:val="FontStyle18"/>
        </w:rPr>
      </w:pPr>
      <w:proofErr w:type="gramStart"/>
      <w:r>
        <w:rPr>
          <w:rStyle w:val="FontStyle18"/>
        </w:rPr>
        <w:t>Реализацией товаров, работ или услуг организацией или индивидуальным предпринимателем признается соответственно передача на возмездной основе (в том числе обмен товарами, работами или услугами) права собственности на</w:t>
      </w:r>
      <w:r>
        <w:rPr>
          <w:rStyle w:val="FontStyle18"/>
        </w:rPr>
        <w:t xml:space="preserve"> товары, результатов выполненных работ одним лицом для другого лица, возмездное оказание услуг одним лицом другому лицу, а в случаях, предусмотренных Кодексом, передача права собственности на товары, результатов выполненных работ одним лицом для другого ли</w:t>
      </w:r>
      <w:r>
        <w:rPr>
          <w:rStyle w:val="FontStyle18"/>
        </w:rPr>
        <w:t>ца</w:t>
      </w:r>
      <w:proofErr w:type="gramEnd"/>
      <w:r>
        <w:rPr>
          <w:rStyle w:val="FontStyle18"/>
        </w:rPr>
        <w:t>, оказание услуг одним лицом другому лицу - на безвозмездной основе (пункт 1 статьи 39 Кодекса).</w:t>
      </w:r>
    </w:p>
    <w:p w:rsidR="00000000" w:rsidRDefault="009E6F5C">
      <w:pPr>
        <w:pStyle w:val="Style5"/>
        <w:widowControl/>
        <w:ind w:firstLine="710"/>
        <w:rPr>
          <w:rStyle w:val="FontStyle18"/>
        </w:rPr>
      </w:pPr>
      <w:r>
        <w:rPr>
          <w:rStyle w:val="FontStyle18"/>
        </w:rPr>
        <w:t>Пунктом 1 статьи 346.17 Кодекса установлено, что датой получения</w:t>
      </w:r>
      <w:r>
        <w:rPr>
          <w:rStyle w:val="FontStyle18"/>
        </w:rPr>
        <w:t xml:space="preserve"> доходов у налогоплательщиков,  применяющих УСН,  признается день  поступления денежных средс</w:t>
      </w:r>
      <w:r>
        <w:rPr>
          <w:rStyle w:val="FontStyle18"/>
        </w:rPr>
        <w:t>тв на счета в банках и (или) в кассу, получения иного имущества (работ, услуг) и (или) имущественных прав, а также погашения задолженности (оплаты) налогоплательщику иным способом (кассовый метод).</w:t>
      </w:r>
    </w:p>
    <w:p w:rsidR="00000000" w:rsidRDefault="009E6F5C">
      <w:pPr>
        <w:pStyle w:val="Style5"/>
        <w:widowControl/>
        <w:ind w:firstLine="710"/>
        <w:rPr>
          <w:rStyle w:val="FontStyle18"/>
        </w:rPr>
      </w:pPr>
      <w:proofErr w:type="gramStart"/>
      <w:r>
        <w:rPr>
          <w:rStyle w:val="FontStyle18"/>
        </w:rPr>
        <w:t>Таким образом, в случае перехода налогоплательщика с уплат</w:t>
      </w:r>
      <w:r>
        <w:rPr>
          <w:rStyle w:val="FontStyle18"/>
        </w:rPr>
        <w:t>ы ЕНВД на применение УСН в налоговую базу по налогу, уплачиваемому в связи с применением УСН, включаются доходы от реализации товаров (работ, услуг), поступившие налогоплательщику в период применения УСН за товары (работы, услуги), реализованные (то есть ф</w:t>
      </w:r>
      <w:r>
        <w:rPr>
          <w:rStyle w:val="FontStyle18"/>
        </w:rPr>
        <w:t>актически переданные на возмездной основе) в период применения УСН.</w:t>
      </w:r>
      <w:proofErr w:type="gramEnd"/>
    </w:p>
    <w:p w:rsidR="00000000" w:rsidRDefault="009E6F5C">
      <w:pPr>
        <w:pStyle w:val="Style5"/>
        <w:widowControl/>
        <w:ind w:firstLine="706"/>
        <w:rPr>
          <w:rStyle w:val="FontStyle18"/>
        </w:rPr>
      </w:pPr>
      <w:r>
        <w:rPr>
          <w:rStyle w:val="FontStyle18"/>
        </w:rPr>
        <w:t>Вместе с тем, если реализация товаров (работ, услуг) осуществлена в период применения ЕНВД, то доходы от реализации указанных товаров (работ, услуг), поступившие налогоплательщику в период</w:t>
      </w:r>
      <w:r>
        <w:rPr>
          <w:rStyle w:val="FontStyle18"/>
        </w:rPr>
        <w:t xml:space="preserve"> применения УСН, при определении налоговой базы по УСН не учитываются.</w:t>
      </w:r>
    </w:p>
    <w:p w:rsidR="00000000" w:rsidRDefault="009E6F5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9E6F5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9E6F5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9E6F5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000000" w:rsidRDefault="009E6F5C">
      <w:pPr>
        <w:pStyle w:val="Style4"/>
        <w:widowControl/>
        <w:spacing w:line="240" w:lineRule="exact"/>
        <w:ind w:right="8822"/>
        <w:jc w:val="both"/>
        <w:rPr>
          <w:sz w:val="20"/>
          <w:szCs w:val="20"/>
        </w:rPr>
      </w:pPr>
    </w:p>
    <w:p w:rsidR="006B2655" w:rsidRDefault="009E6F5C">
      <w:pPr>
        <w:pStyle w:val="Style4"/>
        <w:widowControl/>
        <w:spacing w:before="58" w:line="182" w:lineRule="exact"/>
        <w:ind w:right="8822"/>
        <w:jc w:val="both"/>
        <w:rPr>
          <w:rStyle w:val="FontStyle19"/>
        </w:rPr>
      </w:pPr>
      <w:r>
        <w:rPr>
          <w:rStyle w:val="FontStyle19"/>
        </w:rPr>
        <w:t>В.В. Горбунова (495)913-00-00 29-12</w:t>
      </w:r>
    </w:p>
    <w:sectPr w:rsidR="006B2655" w:rsidSect="006B2655">
      <w:headerReference w:type="default" r:id="rId6"/>
      <w:headerReference w:type="first" r:id="rId7"/>
      <w:type w:val="continuous"/>
      <w:pgSz w:w="16837" w:h="23810"/>
      <w:pgMar w:top="709" w:right="3179" w:bottom="1440" w:left="35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55" w:rsidRDefault="006B2655">
      <w:r>
        <w:separator/>
      </w:r>
    </w:p>
  </w:endnote>
  <w:endnote w:type="continuationSeparator" w:id="0">
    <w:p w:rsidR="006B2655" w:rsidRDefault="006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55" w:rsidRDefault="006B2655">
      <w:r>
        <w:separator/>
      </w:r>
    </w:p>
  </w:footnote>
  <w:footnote w:type="continuationSeparator" w:id="0">
    <w:p w:rsidR="006B2655" w:rsidRDefault="006B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6F5C">
    <w:pPr>
      <w:pStyle w:val="Style7"/>
      <w:widowControl/>
      <w:spacing w:line="240" w:lineRule="auto"/>
      <w:ind w:left="4584" w:right="138"/>
      <w:rPr>
        <w:rStyle w:val="FontStyle18"/>
      </w:rPr>
    </w:pPr>
    <w:r>
      <w:rPr>
        <w:rStyle w:val="FontStyle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6F5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655"/>
    <w:rsid w:val="006B2655"/>
    <w:rsid w:val="009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85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715"/>
      <w:jc w:val="both"/>
    </w:pPr>
  </w:style>
  <w:style w:type="paragraph" w:customStyle="1" w:styleId="Style6">
    <w:name w:val="Style6"/>
    <w:basedOn w:val="a"/>
    <w:uiPriority w:val="99"/>
    <w:pPr>
      <w:spacing w:line="185" w:lineRule="exact"/>
      <w:jc w:val="center"/>
    </w:pPr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2020-11-11T02:39:00Z</dcterms:created>
  <dcterms:modified xsi:type="dcterms:W3CDTF">2020-11-11T02:51:00Z</dcterms:modified>
</cp:coreProperties>
</file>