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F6F33" w:rsidRDefault="00D9198B">
      <w:pPr>
        <w:pStyle w:val="Style3"/>
        <w:widowControl/>
        <w:spacing w:before="48"/>
        <w:ind w:firstLine="96"/>
        <w:rPr>
          <w:rStyle w:val="FontStyle14"/>
          <w:u w:val="single"/>
        </w:rPr>
      </w:pPr>
    </w:p>
    <w:p w:rsidR="00000000" w:rsidRDefault="00D9198B">
      <w:pPr>
        <w:pStyle w:val="Style5"/>
        <w:widowControl/>
        <w:spacing w:line="240" w:lineRule="exact"/>
        <w:rPr>
          <w:sz w:val="20"/>
          <w:szCs w:val="20"/>
        </w:rPr>
      </w:pPr>
    </w:p>
    <w:p w:rsidR="005F6F33" w:rsidRPr="005F6F33" w:rsidRDefault="005F6F33" w:rsidP="005F6F33">
      <w:pPr>
        <w:jc w:val="center"/>
        <w:rPr>
          <w:rStyle w:val="FontStyle14"/>
          <w:b/>
        </w:rPr>
      </w:pPr>
      <w:r w:rsidRPr="005F6F33">
        <w:rPr>
          <w:rStyle w:val="FontStyle14"/>
          <w:b/>
        </w:rPr>
        <w:t>ЮРИДИЧЕСКИМ ЛИЦАМ И ИНДИВИДУАЛЬНЫМ  ПРЕДПРИНИМАТЕЛЯМ</w:t>
      </w:r>
    </w:p>
    <w:p w:rsidR="005F6F33" w:rsidRDefault="005F6F33">
      <w:pPr>
        <w:pStyle w:val="Style5"/>
        <w:widowControl/>
        <w:spacing w:before="134" w:line="446" w:lineRule="exact"/>
        <w:rPr>
          <w:rStyle w:val="FontStyle14"/>
        </w:rPr>
      </w:pPr>
    </w:p>
    <w:p w:rsidR="00000000" w:rsidRDefault="00D9198B">
      <w:pPr>
        <w:pStyle w:val="Style5"/>
        <w:widowControl/>
        <w:spacing w:before="134" w:line="446" w:lineRule="exact"/>
        <w:rPr>
          <w:rStyle w:val="FontStyle14"/>
        </w:rPr>
      </w:pPr>
      <w:r>
        <w:rPr>
          <w:rStyle w:val="FontStyle14"/>
        </w:rPr>
        <w:t>П</w:t>
      </w:r>
      <w:r>
        <w:rPr>
          <w:rStyle w:val="FontStyle14"/>
        </w:rPr>
        <w:t xml:space="preserve">редставляйте документы </w:t>
      </w:r>
      <w:proofErr w:type="gramStart"/>
      <w:r>
        <w:rPr>
          <w:rStyle w:val="FontStyle14"/>
        </w:rPr>
        <w:t>в налоговый орган в формализованном виде в электронной форме с использованием усиленной квалифицированной электронной подписи по телекоммуникационным каналам</w:t>
      </w:r>
      <w:proofErr w:type="gramEnd"/>
      <w:r>
        <w:rPr>
          <w:rStyle w:val="FontStyle14"/>
        </w:rPr>
        <w:t xml:space="preserve"> связи (ТКС) через операторов электронного документооборота.</w:t>
      </w:r>
    </w:p>
    <w:p w:rsidR="00000000" w:rsidRDefault="00D9198B">
      <w:pPr>
        <w:pStyle w:val="Style5"/>
        <w:widowControl/>
        <w:spacing w:before="134" w:line="446" w:lineRule="exact"/>
        <w:rPr>
          <w:rStyle w:val="FontStyle14"/>
        </w:rPr>
        <w:sectPr w:rsidR="00000000" w:rsidSect="005F6F33">
          <w:type w:val="continuous"/>
          <w:pgSz w:w="16837" w:h="23810"/>
          <w:pgMar w:top="709" w:right="1528" w:bottom="1440" w:left="1843" w:header="720" w:footer="720" w:gutter="0"/>
          <w:cols w:space="60"/>
          <w:noEndnote/>
        </w:sectPr>
      </w:pPr>
    </w:p>
    <w:p w:rsidR="00000000" w:rsidRDefault="00D9198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D9198B">
      <w:pPr>
        <w:pStyle w:val="Style3"/>
        <w:widowControl/>
        <w:spacing w:before="202" w:line="427" w:lineRule="exact"/>
        <w:rPr>
          <w:rStyle w:val="FontStyle14"/>
        </w:rPr>
      </w:pPr>
      <w:r>
        <w:rPr>
          <w:rStyle w:val="FontStyle14"/>
        </w:rPr>
        <w:t>ПРЕИМУЩЕСТВА ПРЕДСТАВЛЕНИЯ ДОКУМЕНТОВ ПО ТКС В СООТВЕТСТВИИ С УТВЕРЖДЕННЫМ ФОРМАТОМ:</w:t>
      </w:r>
    </w:p>
    <w:p w:rsidR="00000000" w:rsidRDefault="00D9198B" w:rsidP="005F6F33">
      <w:pPr>
        <w:pStyle w:val="Style7"/>
        <w:widowControl/>
        <w:numPr>
          <w:ilvl w:val="0"/>
          <w:numId w:val="1"/>
        </w:numPr>
        <w:tabs>
          <w:tab w:val="left" w:pos="221"/>
        </w:tabs>
        <w:spacing w:before="154" w:line="422" w:lineRule="exact"/>
        <w:rPr>
          <w:rStyle w:val="FontStyle14"/>
        </w:rPr>
      </w:pPr>
      <w:r>
        <w:rPr>
          <w:rStyle w:val="FontStyle14"/>
        </w:rPr>
        <w:t>снижение временных и финансовых затрат;</w:t>
      </w:r>
    </w:p>
    <w:p w:rsidR="00000000" w:rsidRDefault="00D9198B" w:rsidP="005F6F33">
      <w:pPr>
        <w:pStyle w:val="Style7"/>
        <w:widowControl/>
        <w:numPr>
          <w:ilvl w:val="0"/>
          <w:numId w:val="1"/>
        </w:numPr>
        <w:tabs>
          <w:tab w:val="left" w:pos="221"/>
        </w:tabs>
        <w:spacing w:line="422" w:lineRule="exact"/>
        <w:rPr>
          <w:rStyle w:val="FontStyle14"/>
        </w:rPr>
      </w:pPr>
      <w:r>
        <w:rPr>
          <w:rStyle w:val="FontStyle14"/>
        </w:rPr>
        <w:t>оперативность доставки;</w:t>
      </w:r>
    </w:p>
    <w:p w:rsidR="00000000" w:rsidRDefault="00D9198B" w:rsidP="005F6F33">
      <w:pPr>
        <w:pStyle w:val="Style7"/>
        <w:widowControl/>
        <w:numPr>
          <w:ilvl w:val="0"/>
          <w:numId w:val="1"/>
        </w:numPr>
        <w:tabs>
          <w:tab w:val="left" w:pos="221"/>
        </w:tabs>
        <w:spacing w:line="422" w:lineRule="exact"/>
        <w:rPr>
          <w:rStyle w:val="FontStyle14"/>
        </w:rPr>
      </w:pPr>
      <w:r>
        <w:rPr>
          <w:rStyle w:val="FontStyle14"/>
        </w:rPr>
        <w:t>минимизация риска технических ошибок;</w:t>
      </w:r>
    </w:p>
    <w:p w:rsidR="00000000" w:rsidRDefault="00D9198B" w:rsidP="001C3747">
      <w:pPr>
        <w:pStyle w:val="Style7"/>
        <w:widowControl/>
        <w:numPr>
          <w:ilvl w:val="0"/>
          <w:numId w:val="1"/>
        </w:numPr>
        <w:tabs>
          <w:tab w:val="left" w:pos="221"/>
          <w:tab w:val="left" w:pos="9356"/>
        </w:tabs>
        <w:spacing w:line="422" w:lineRule="exact"/>
        <w:ind w:right="1536"/>
        <w:rPr>
          <w:rStyle w:val="FontStyle14"/>
        </w:rPr>
      </w:pPr>
      <w:r>
        <w:rPr>
          <w:rStyle w:val="FontStyle14"/>
        </w:rPr>
        <w:t>оперативное обновление форм</w:t>
      </w:r>
      <w:r>
        <w:rPr>
          <w:rStyle w:val="FontStyle14"/>
        </w:rPr>
        <w:t xml:space="preserve">атов </w:t>
      </w:r>
      <w:bookmarkStart w:id="0" w:name="_GoBack"/>
      <w:bookmarkEnd w:id="0"/>
      <w:r>
        <w:rPr>
          <w:rStyle w:val="FontStyle14"/>
        </w:rPr>
        <w:t>представления отчетности;</w:t>
      </w:r>
    </w:p>
    <w:p w:rsidR="00000000" w:rsidRDefault="00D9198B" w:rsidP="005F6F33">
      <w:pPr>
        <w:pStyle w:val="Style7"/>
        <w:widowControl/>
        <w:numPr>
          <w:ilvl w:val="0"/>
          <w:numId w:val="1"/>
        </w:numPr>
        <w:tabs>
          <w:tab w:val="left" w:pos="221"/>
        </w:tabs>
        <w:spacing w:line="422" w:lineRule="exact"/>
        <w:ind w:right="1536"/>
        <w:rPr>
          <w:rStyle w:val="FontStyle14"/>
        </w:rPr>
      </w:pPr>
      <w:r>
        <w:rPr>
          <w:rStyle w:val="FontStyle14"/>
        </w:rPr>
        <w:t xml:space="preserve">оптимизация взаимодействия с налоговыми </w:t>
      </w:r>
      <w:r>
        <w:rPr>
          <w:rStyle w:val="FontStyle14"/>
        </w:rPr>
        <w:t>о</w:t>
      </w:r>
      <w:r>
        <w:rPr>
          <w:rStyle w:val="FontStyle14"/>
        </w:rPr>
        <w:t>рганами.</w:t>
      </w:r>
    </w:p>
    <w:p w:rsidR="00000000" w:rsidRDefault="00D9198B" w:rsidP="005F6F33">
      <w:pPr>
        <w:pStyle w:val="Style7"/>
        <w:widowControl/>
        <w:numPr>
          <w:ilvl w:val="0"/>
          <w:numId w:val="1"/>
        </w:numPr>
        <w:tabs>
          <w:tab w:val="left" w:pos="221"/>
        </w:tabs>
        <w:spacing w:line="422" w:lineRule="exact"/>
        <w:ind w:right="1536"/>
        <w:rPr>
          <w:rStyle w:val="FontStyle14"/>
        </w:rPr>
        <w:sectPr w:rsidR="00000000" w:rsidSect="001C3747">
          <w:type w:val="continuous"/>
          <w:pgSz w:w="16837" w:h="23810"/>
          <w:pgMar w:top="1750" w:right="1811" w:bottom="1440" w:left="2970" w:header="720" w:footer="720" w:gutter="0"/>
          <w:cols w:space="60"/>
          <w:noEndnote/>
        </w:sectPr>
      </w:pPr>
    </w:p>
    <w:p w:rsidR="00000000" w:rsidRDefault="00D9198B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D9198B">
      <w:pPr>
        <w:pStyle w:val="Style6"/>
        <w:widowControl/>
        <w:spacing w:line="240" w:lineRule="exact"/>
        <w:rPr>
          <w:sz w:val="20"/>
          <w:szCs w:val="20"/>
        </w:rPr>
      </w:pPr>
    </w:p>
    <w:p w:rsidR="005F6F33" w:rsidRPr="005F6F33" w:rsidRDefault="00D9198B" w:rsidP="005F6F33">
      <w:pPr>
        <w:pStyle w:val="Style6"/>
        <w:widowControl/>
        <w:spacing w:line="422" w:lineRule="exact"/>
        <w:jc w:val="both"/>
        <w:rPr>
          <w:rStyle w:val="FontStyle14"/>
        </w:rPr>
      </w:pPr>
      <w:r>
        <w:rPr>
          <w:rStyle w:val="FontStyle14"/>
        </w:rPr>
        <w:t xml:space="preserve">Налогоплательщики, подключившиеся к системе электронного </w:t>
      </w:r>
      <w:r>
        <w:rPr>
          <w:rStyle w:val="FontStyle14"/>
        </w:rPr>
        <w:t>д</w:t>
      </w:r>
      <w:r>
        <w:rPr>
          <w:rStyle w:val="FontStyle14"/>
        </w:rPr>
        <w:t>окументооборота, имеют возможность запрашивать в электронном виде</w:t>
      </w:r>
      <w:r w:rsidR="005F6F33" w:rsidRPr="005F6F33">
        <w:rPr>
          <w:rStyle w:val="FontStyle14"/>
        </w:rPr>
        <w:t>:</w:t>
      </w:r>
    </w:p>
    <w:p w:rsidR="005F6F33" w:rsidRDefault="005F6F33" w:rsidP="005F6F33">
      <w:pPr>
        <w:pStyle w:val="Style6"/>
        <w:widowControl/>
        <w:spacing w:line="422" w:lineRule="exact"/>
        <w:jc w:val="both"/>
        <w:rPr>
          <w:rStyle w:val="FontStyle14"/>
          <w:lang w:val="en-US"/>
        </w:rPr>
      </w:pPr>
      <w:r w:rsidRPr="005F6F33">
        <w:rPr>
          <w:rStyle w:val="FontStyle14"/>
        </w:rPr>
        <w:t>-</w:t>
      </w:r>
      <w:r w:rsidR="00D9198B">
        <w:rPr>
          <w:rStyle w:val="FontStyle14"/>
        </w:rPr>
        <w:t xml:space="preserve"> справки о состоянии р</w:t>
      </w:r>
      <w:r w:rsidR="00D9198B">
        <w:rPr>
          <w:rStyle w:val="FontStyle14"/>
        </w:rPr>
        <w:t xml:space="preserve">асчетов по налогам, сборам, пеням и штрафам; </w:t>
      </w:r>
    </w:p>
    <w:p w:rsidR="005F6F33" w:rsidRDefault="005F6F33" w:rsidP="005F6F33">
      <w:pPr>
        <w:pStyle w:val="Style6"/>
        <w:widowControl/>
        <w:spacing w:line="422" w:lineRule="exact"/>
        <w:jc w:val="both"/>
        <w:rPr>
          <w:rStyle w:val="FontStyle14"/>
          <w:lang w:val="en-US"/>
        </w:rPr>
      </w:pPr>
      <w:r w:rsidRPr="005F6F33">
        <w:rPr>
          <w:rStyle w:val="FontStyle14"/>
        </w:rPr>
        <w:t xml:space="preserve">- </w:t>
      </w:r>
      <w:r w:rsidR="00D9198B">
        <w:rPr>
          <w:rStyle w:val="FontStyle14"/>
        </w:rPr>
        <w:t xml:space="preserve">акты сверок; </w:t>
      </w:r>
    </w:p>
    <w:p w:rsidR="005F6F33" w:rsidRDefault="005F6F33" w:rsidP="005F6F33">
      <w:pPr>
        <w:pStyle w:val="Style6"/>
        <w:widowControl/>
        <w:spacing w:line="422" w:lineRule="exact"/>
        <w:jc w:val="both"/>
        <w:rPr>
          <w:rStyle w:val="FontStyle14"/>
          <w:lang w:val="en-US"/>
        </w:rPr>
      </w:pPr>
      <w:r w:rsidRPr="005F6F33">
        <w:rPr>
          <w:rStyle w:val="FontStyle14"/>
        </w:rPr>
        <w:t xml:space="preserve">- </w:t>
      </w:r>
      <w:r w:rsidR="00D9198B">
        <w:rPr>
          <w:rStyle w:val="FontStyle14"/>
        </w:rPr>
        <w:t xml:space="preserve">выписки операций по расчетам с бюджетом; </w:t>
      </w:r>
    </w:p>
    <w:p w:rsidR="00000000" w:rsidRPr="001C3747" w:rsidRDefault="005F6F33" w:rsidP="005F6F33">
      <w:pPr>
        <w:pStyle w:val="Style6"/>
        <w:widowControl/>
        <w:spacing w:line="422" w:lineRule="exact"/>
        <w:jc w:val="both"/>
        <w:rPr>
          <w:rStyle w:val="FontStyle14"/>
        </w:rPr>
      </w:pPr>
      <w:r w:rsidRPr="005F6F33">
        <w:rPr>
          <w:rStyle w:val="FontStyle14"/>
        </w:rPr>
        <w:t xml:space="preserve">- </w:t>
      </w:r>
      <w:r w:rsidR="00D9198B">
        <w:rPr>
          <w:rStyle w:val="FontStyle14"/>
        </w:rPr>
        <w:t>перечень налоговых деклараций и бухгалтерской отчетности, пре</w:t>
      </w:r>
      <w:r w:rsidR="001C3747">
        <w:rPr>
          <w:rStyle w:val="FontStyle14"/>
        </w:rPr>
        <w:t xml:space="preserve">дставленной за отчетный период </w:t>
      </w:r>
    </w:p>
    <w:p w:rsidR="00000000" w:rsidRDefault="00D9198B" w:rsidP="001C3747">
      <w:pPr>
        <w:pStyle w:val="Style1"/>
        <w:widowControl/>
        <w:spacing w:before="120" w:line="528" w:lineRule="exact"/>
        <w:jc w:val="center"/>
        <w:rPr>
          <w:rStyle w:val="FontStyle13"/>
          <w:position w:val="-3"/>
        </w:rPr>
      </w:pPr>
      <w:r>
        <w:rPr>
          <w:rStyle w:val="FontStyle13"/>
          <w:position w:val="-3"/>
        </w:rPr>
        <w:t>УДОБНО! ПРОСТО! ЭЛЕКТРОННО!</w:t>
      </w:r>
    </w:p>
    <w:p w:rsidR="00000000" w:rsidRDefault="00D9198B">
      <w:pPr>
        <w:pStyle w:val="Style1"/>
        <w:widowControl/>
        <w:spacing w:before="120" w:line="528" w:lineRule="exact"/>
        <w:jc w:val="right"/>
        <w:rPr>
          <w:rStyle w:val="FontStyle13"/>
          <w:position w:val="-3"/>
        </w:rPr>
        <w:sectPr w:rsidR="00000000" w:rsidSect="005F6F33">
          <w:type w:val="continuous"/>
          <w:pgSz w:w="16837" w:h="23810"/>
          <w:pgMar w:top="1750" w:right="1102" w:bottom="1440" w:left="1701" w:header="720" w:footer="720" w:gutter="0"/>
          <w:cols w:space="60"/>
          <w:noEndnote/>
        </w:sectPr>
      </w:pPr>
    </w:p>
    <w:p w:rsidR="00000000" w:rsidRDefault="00D9198B">
      <w:pPr>
        <w:pStyle w:val="Style6"/>
        <w:widowControl/>
        <w:spacing w:line="240" w:lineRule="exact"/>
        <w:rPr>
          <w:sz w:val="20"/>
          <w:szCs w:val="20"/>
        </w:rPr>
      </w:pPr>
    </w:p>
    <w:p w:rsidR="005F6F33" w:rsidRDefault="00D9198B" w:rsidP="001C3747">
      <w:pPr>
        <w:pStyle w:val="Style6"/>
        <w:widowControl/>
        <w:spacing w:before="125" w:line="422" w:lineRule="exact"/>
        <w:ind w:right="-1"/>
        <w:jc w:val="both"/>
        <w:rPr>
          <w:rStyle w:val="FontStyle14"/>
        </w:rPr>
      </w:pPr>
      <w:r>
        <w:rPr>
          <w:rStyle w:val="FontStyle14"/>
        </w:rPr>
        <w:t xml:space="preserve">Подключиться к системе электронного взаимодействия по ТКС можно у </w:t>
      </w:r>
      <w:r>
        <w:rPr>
          <w:rStyle w:val="FontStyle14"/>
        </w:rPr>
        <w:t>с</w:t>
      </w:r>
      <w:r>
        <w:rPr>
          <w:rStyle w:val="FontStyle14"/>
        </w:rPr>
        <w:t>пециализированных операторов связи, список которых размещен на сайте ФНС России в разделе «Представление налоговой и бухгалтерской отчетности в электронном вид</w:t>
      </w:r>
      <w:r>
        <w:rPr>
          <w:rStyle w:val="FontStyle14"/>
        </w:rPr>
        <w:t>е».</w:t>
      </w:r>
    </w:p>
    <w:p w:rsidR="005F6F33" w:rsidRDefault="001C3747" w:rsidP="005F6F33">
      <w:pPr>
        <w:pStyle w:val="Style6"/>
        <w:widowControl/>
        <w:spacing w:before="125" w:line="422" w:lineRule="exact"/>
        <w:jc w:val="right"/>
        <w:rPr>
          <w:rStyle w:val="FontStyle14"/>
          <w:lang w:val="en-US"/>
        </w:rPr>
      </w:pPr>
      <w:hyperlink r:id="rId7" w:history="1">
        <w:r w:rsidRPr="00394EAA">
          <w:rPr>
            <w:rStyle w:val="a3"/>
            <w:rFonts w:cs="Trebuchet MS"/>
            <w:sz w:val="34"/>
            <w:szCs w:val="34"/>
          </w:rPr>
          <w:t>www.nalog.gov.ru</w:t>
        </w:r>
      </w:hyperlink>
    </w:p>
    <w:p w:rsidR="001C3747" w:rsidRPr="001C3747" w:rsidRDefault="001C3747" w:rsidP="005F6F33">
      <w:pPr>
        <w:pStyle w:val="Style6"/>
        <w:widowControl/>
        <w:spacing w:before="125" w:line="422" w:lineRule="exact"/>
        <w:jc w:val="right"/>
        <w:rPr>
          <w:rStyle w:val="FontStyle14"/>
          <w:lang w:val="en-US"/>
        </w:rPr>
      </w:pPr>
      <w:proofErr w:type="gramStart"/>
      <w:r w:rsidRPr="001C3747">
        <w:rPr>
          <w:rStyle w:val="FontStyle14"/>
          <w:lang w:val="en-US"/>
        </w:rPr>
        <w:t>8(800)-222-22-22</w:t>
      </w:r>
      <w:proofErr w:type="gramEnd"/>
    </w:p>
    <w:sectPr w:rsidR="001C3747" w:rsidRPr="001C3747" w:rsidSect="001C3747">
      <w:type w:val="continuous"/>
      <w:pgSz w:w="16837" w:h="23810"/>
      <w:pgMar w:top="1750" w:right="1102" w:bottom="14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33" w:rsidRDefault="005F6F33">
      <w:r>
        <w:separator/>
      </w:r>
    </w:p>
  </w:endnote>
  <w:endnote w:type="continuationSeparator" w:id="0">
    <w:p w:rsidR="005F6F33" w:rsidRDefault="005F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33" w:rsidRDefault="005F6F33">
      <w:r>
        <w:separator/>
      </w:r>
    </w:p>
  </w:footnote>
  <w:footnote w:type="continuationSeparator" w:id="0">
    <w:p w:rsidR="005F6F33" w:rsidRDefault="005F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38A2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F33"/>
    <w:rsid w:val="001C3747"/>
    <w:rsid w:val="005F6F33"/>
    <w:rsid w:val="00D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08" w:lineRule="exact"/>
      <w:jc w:val="both"/>
    </w:pPr>
  </w:style>
  <w:style w:type="paragraph" w:customStyle="1" w:styleId="Style4">
    <w:name w:val="Style4"/>
    <w:basedOn w:val="a"/>
    <w:uiPriority w:val="99"/>
    <w:pPr>
      <w:spacing w:line="422" w:lineRule="exact"/>
      <w:jc w:val="right"/>
    </w:pPr>
  </w:style>
  <w:style w:type="paragraph" w:customStyle="1" w:styleId="Style5">
    <w:name w:val="Style5"/>
    <w:basedOn w:val="a"/>
    <w:uiPriority w:val="99"/>
    <w:pPr>
      <w:spacing w:line="448" w:lineRule="exact"/>
      <w:jc w:val="center"/>
    </w:pPr>
  </w:style>
  <w:style w:type="paragraph" w:customStyle="1" w:styleId="Style6">
    <w:name w:val="Style6"/>
    <w:basedOn w:val="a"/>
    <w:uiPriority w:val="99"/>
    <w:pPr>
      <w:spacing w:line="425" w:lineRule="exact"/>
    </w:pPr>
  </w:style>
  <w:style w:type="paragraph" w:customStyle="1" w:styleId="Style7">
    <w:name w:val="Style7"/>
    <w:basedOn w:val="a"/>
    <w:uiPriority w:val="99"/>
    <w:pPr>
      <w:spacing w:line="427" w:lineRule="exact"/>
    </w:pPr>
  </w:style>
  <w:style w:type="character" w:customStyle="1" w:styleId="FontStyle11">
    <w:name w:val="Font Style11"/>
    <w:basedOn w:val="a0"/>
    <w:uiPriority w:val="99"/>
    <w:rPr>
      <w:rFonts w:ascii="Trebuchet MS" w:hAnsi="Trebuchet MS" w:cs="Trebuchet MS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rebuchet MS" w:hAnsi="Trebuchet MS" w:cs="Trebuchet MS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rebuchet MS" w:hAnsi="Trebuchet MS" w:cs="Trebuchet MS"/>
      <w:b/>
      <w:bCs/>
      <w:sz w:val="44"/>
      <w:szCs w:val="44"/>
    </w:rPr>
  </w:style>
  <w:style w:type="character" w:customStyle="1" w:styleId="FontStyle14">
    <w:name w:val="Font Style14"/>
    <w:basedOn w:val="a0"/>
    <w:uiPriority w:val="99"/>
    <w:rPr>
      <w:rFonts w:ascii="Trebuchet MS" w:hAnsi="Trebuchet MS" w:cs="Trebuchet MS"/>
      <w:sz w:val="34"/>
      <w:szCs w:val="34"/>
    </w:rPr>
  </w:style>
  <w:style w:type="character" w:styleId="a3">
    <w:name w:val="Hyperlink"/>
    <w:basedOn w:val="a0"/>
    <w:uiPriority w:val="99"/>
    <w:unhideWhenUsed/>
    <w:rsid w:val="001C3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Листовка_ТКС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Листовка_ТКС</dc:title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2021-09-15T06:39:00Z</dcterms:created>
  <dcterms:modified xsi:type="dcterms:W3CDTF">2021-09-15T08:10:00Z</dcterms:modified>
</cp:coreProperties>
</file>