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3" w:rsidRDefault="00A44E13" w:rsidP="00A44E13">
      <w:pPr>
        <w:spacing w:after="0" w:line="240" w:lineRule="auto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Д</w:t>
      </w:r>
      <w:r w:rsidRPr="00A44E13">
        <w:rPr>
          <w:b w:val="0"/>
          <w:sz w:val="28"/>
          <w:szCs w:val="28"/>
          <w:u w:val="none"/>
        </w:rPr>
        <w:t xml:space="preserve">авайте напомним читателям, </w:t>
      </w:r>
    </w:p>
    <w:p w:rsidR="00A44E13" w:rsidRDefault="00A44E13" w:rsidP="00A44E13">
      <w:pPr>
        <w:spacing w:after="0" w:line="240" w:lineRule="auto"/>
        <w:jc w:val="center"/>
        <w:rPr>
          <w:b w:val="0"/>
          <w:sz w:val="28"/>
          <w:szCs w:val="28"/>
          <w:u w:val="none"/>
        </w:rPr>
      </w:pPr>
      <w:r w:rsidRPr="00A44E13">
        <w:rPr>
          <w:b w:val="0"/>
          <w:sz w:val="28"/>
          <w:szCs w:val="28"/>
          <w:u w:val="none"/>
        </w:rPr>
        <w:t>кто обязан заплатить имущественные налоги?</w:t>
      </w:r>
    </w:p>
    <w:p w:rsidR="00A44E13" w:rsidRPr="00A44E13" w:rsidRDefault="00A44E13" w:rsidP="00A44E13">
      <w:pPr>
        <w:spacing w:after="0" w:line="240" w:lineRule="auto"/>
        <w:jc w:val="center"/>
        <w:rPr>
          <w:b w:val="0"/>
          <w:sz w:val="28"/>
          <w:szCs w:val="28"/>
          <w:u w:val="none"/>
        </w:rPr>
      </w:pPr>
    </w:p>
    <w:p w:rsidR="00A44E13" w:rsidRPr="00A44E13" w:rsidRDefault="00A44E13" w:rsidP="00A44E13">
      <w:pPr>
        <w:ind w:firstLine="708"/>
        <w:jc w:val="both"/>
        <w:rPr>
          <w:b w:val="0"/>
          <w:u w:val="none"/>
        </w:rPr>
      </w:pPr>
      <w:r w:rsidRPr="00A44E13">
        <w:rPr>
          <w:b w:val="0"/>
          <w:u w:val="none"/>
        </w:rPr>
        <w:t xml:space="preserve">Прежде всего, нужно разъяснить, что плательщиками данных налогов признаются физические лица, обладающие правом собственности на имущество, признаваемое объектов налогообложения. Само понятие «имущественные налоги физических лиц» объединяет сразу несколько налогов: непосредственно налог на имущество, налог на транспортные средства и земельный налог. Соответственно, плательщиком налога на имущество признается физическое лицо, обладающее правом собственности на жилой дом, жилое помещение (квартира, комната), гараж, </w:t>
      </w:r>
      <w:proofErr w:type="spellStart"/>
      <w:r w:rsidRPr="00A44E13">
        <w:rPr>
          <w:b w:val="0"/>
          <w:u w:val="none"/>
        </w:rPr>
        <w:t>машиноместо</w:t>
      </w:r>
      <w:proofErr w:type="spellEnd"/>
      <w:r w:rsidRPr="00A44E13">
        <w:rPr>
          <w:b w:val="0"/>
          <w:u w:val="none"/>
        </w:rPr>
        <w:t xml:space="preserve">, единый недвижимый комплекс, на объекты незавершенного строительства, иные здания, строения, сооружения и помещения. </w:t>
      </w:r>
      <w:proofErr w:type="gramStart"/>
      <w:r w:rsidRPr="00A44E13">
        <w:rPr>
          <w:b w:val="0"/>
          <w:u w:val="none"/>
        </w:rPr>
        <w:t>Транспортным налогом облагаются граждане, имеющие в собственности автомобили, мотоциклы, мотороллеры, автобусы, иные самоходные машины и механизмы на пневматическом и гусеничном ходу, яхты, парусные суда, катера, снегоходы, мотосани, моторные лодки и т.д.</w:t>
      </w:r>
      <w:proofErr w:type="gramEnd"/>
      <w:r w:rsidRPr="00A44E13">
        <w:rPr>
          <w:b w:val="0"/>
          <w:u w:val="none"/>
        </w:rPr>
        <w:t xml:space="preserve"> Владельцы земельных участков обязаны уплачивать земельный налог.</w:t>
      </w:r>
      <w:bookmarkStart w:id="0" w:name="_GoBack"/>
      <w:bookmarkEnd w:id="0"/>
    </w:p>
    <w:p w:rsidR="00BC6AF3" w:rsidRPr="00A44E13" w:rsidRDefault="00BC6AF3" w:rsidP="00A44E13">
      <w:pPr>
        <w:jc w:val="both"/>
        <w:rPr>
          <w:b w:val="0"/>
          <w:u w:val="none"/>
        </w:rPr>
      </w:pPr>
    </w:p>
    <w:sectPr w:rsidR="00BC6AF3" w:rsidRPr="00A4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3"/>
    <w:rsid w:val="00522D94"/>
    <w:rsid w:val="00A44E13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2019-09-19T00:25:00Z</dcterms:created>
  <dcterms:modified xsi:type="dcterms:W3CDTF">2019-09-19T01:18:00Z</dcterms:modified>
</cp:coreProperties>
</file>